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泸州老窖股份有限公司</w:t>
      </w:r>
      <w:bookmarkStart w:id="0" w:name="_GoBack"/>
      <w:bookmarkEnd w:id="0"/>
      <w:r>
        <w:rPr>
          <w:rFonts w:hint="eastAsia" w:ascii="宋体" w:hAnsi="宋体" w:eastAsia="宋体" w:cs="宋体"/>
          <w:b/>
          <w:bCs/>
          <w:color w:val="333333"/>
          <w:kern w:val="0"/>
          <w:sz w:val="28"/>
          <w:szCs w:val="28"/>
        </w:rPr>
        <w:t>招聘简章</w:t>
      </w: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一、公司简介</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泸州老窖是在明清36家古老酿酒作坊群的基础上，发展起来的国有大型骨干酿酒企业（股票代码：000568），拥有行业首家“全国重点文物保护单位”和首批“国家级非物质文化遗产”。泸州老窖秉承“天地同酿，人间共生”的企业哲学，成功构建了以泸州老窖和国窖1573为主体的“双品牌、三品系、五大单品”品牌体系，致力于将泸州老窖建成全球酒类市场中的航空母舰，形成融入经济全球化的大型现代企业。</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公司网址：https://www.lzlj.com/</w:t>
      </w:r>
    </w:p>
    <w:p>
      <w:pPr>
        <w:widowControl/>
        <w:shd w:val="clear" w:color="auto" w:fill="FFFFFF"/>
        <w:jc w:val="left"/>
        <w:rPr>
          <w:rFonts w:hint="eastAsia" w:ascii="微软雅黑" w:hAnsi="微软雅黑" w:eastAsia="微软雅黑" w:cs="微软雅黑"/>
          <w:color w:val="333333"/>
          <w:kern w:val="0"/>
          <w:sz w:val="16"/>
          <w:szCs w:val="16"/>
        </w:rPr>
      </w:pPr>
    </w:p>
    <w:p>
      <w:pPr>
        <w:widowControl/>
        <w:shd w:val="clear" w:color="auto" w:fill="FFFFFF"/>
        <w:spacing w:line="420" w:lineRule="atLeas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二、招聘岗位</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（一）岗位需求</w:t>
      </w:r>
    </w:p>
    <w:tbl>
      <w:tblPr>
        <w:tblStyle w:val="4"/>
        <w:tblW w:w="9015" w:type="dxa"/>
        <w:tblInd w:w="0" w:type="dxa"/>
        <w:shd w:val="clear" w:color="auto" w:fill="FFFFFF"/>
        <w:tblLayout w:type="autofit"/>
        <w:tblCellMar>
          <w:top w:w="15" w:type="dxa"/>
          <w:left w:w="15" w:type="dxa"/>
          <w:bottom w:w="15" w:type="dxa"/>
          <w:right w:w="15" w:type="dxa"/>
        </w:tblCellMar>
      </w:tblPr>
      <w:tblGrid>
        <w:gridCol w:w="1747"/>
        <w:gridCol w:w="4182"/>
        <w:gridCol w:w="1691"/>
        <w:gridCol w:w="1395"/>
      </w:tblGrid>
      <w:tr>
        <w:tblPrEx>
          <w:tblCellMar>
            <w:top w:w="15" w:type="dxa"/>
            <w:left w:w="15" w:type="dxa"/>
            <w:bottom w:w="15" w:type="dxa"/>
            <w:right w:w="15" w:type="dxa"/>
          </w:tblCellMar>
        </w:tblPrEx>
        <w:trPr>
          <w:trHeight w:val="285" w:hRule="atLeast"/>
        </w:trPr>
        <w:tc>
          <w:tcPr>
            <w:tcW w:w="1410"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岗位</w:t>
            </w:r>
          </w:p>
        </w:tc>
        <w:tc>
          <w:tcPr>
            <w:tcW w:w="3375"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专业</w:t>
            </w:r>
          </w:p>
        </w:tc>
        <w:tc>
          <w:tcPr>
            <w:tcW w:w="1365"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工作地点</w:t>
            </w:r>
          </w:p>
        </w:tc>
        <w:tc>
          <w:tcPr>
            <w:tcW w:w="1125"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人数</w:t>
            </w:r>
          </w:p>
        </w:tc>
      </w:tr>
      <w:tr>
        <w:tblPrEx>
          <w:tblCellMar>
            <w:top w:w="15" w:type="dxa"/>
            <w:left w:w="15" w:type="dxa"/>
            <w:bottom w:w="15" w:type="dxa"/>
            <w:right w:w="15" w:type="dxa"/>
          </w:tblCellMar>
        </w:tblPrEx>
        <w:trPr>
          <w:trHeight w:val="285" w:hRule="atLeast"/>
        </w:trPr>
        <w:tc>
          <w:tcPr>
            <w:tcW w:w="14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营销培训生</w:t>
            </w:r>
          </w:p>
        </w:tc>
        <w:tc>
          <w:tcPr>
            <w:tcW w:w="33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专业不限，市场营销专业等相关专业优先</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全国分配</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100</w:t>
            </w:r>
          </w:p>
        </w:tc>
      </w:tr>
    </w:tbl>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（二）岗位定位</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营销培训生是公司未来营销管理层的战略储备人才，通过科学的成长路径，丰富的培训资源，多样化的发展机会，逐步成为行业内领先的营销专家和高级管理人才。</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（三）招聘要求</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1. 本科及以上学历，2020年应届毕业生；</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2. 认同泸州老窖企业理念及价值观；</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3. 具有扎实的专业知识和优秀的学习能力；</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4. 诚信，正直，心态积极，富有活力；</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5. 追求卓越，敢于应对挑战，注重结果、享受成功。</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（四）面试安排</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公司将通过远程线上形式进行面试，面试时间为3月12日-3月14日，面试链接会通过短信或邮件形式发送，请保持通讯畅通。</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p>
    <w:p>
      <w:pPr>
        <w:widowControl/>
        <w:shd w:val="clear" w:color="auto" w:fill="FFFFFF"/>
        <w:spacing w:line="500" w:lineRule="exac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三、营销培训生计划</w:t>
      </w:r>
    </w:p>
    <w:p>
      <w:pPr>
        <w:widowControl/>
        <w:shd w:val="clear" w:color="auto" w:fill="FFFFFF"/>
        <w:spacing w:line="50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公司为营销培训生建立了专属培养计划，职业发展路径清晰明确，从学习营销业务流程和技巧、独立开展营销工作的区县负责人，到熟练进行市场前瞻性布局、提升团队人员能力的省区负责人。在员工的每个成长阶段，公司都会为你提供相应的培养资源，实现精准赋能，助你学习和成长。</w:t>
      </w:r>
    </w:p>
    <w:tbl>
      <w:tblPr>
        <w:tblStyle w:val="4"/>
        <w:tblW w:w="8861" w:type="dxa"/>
        <w:jc w:val="center"/>
        <w:shd w:val="clear" w:color="auto" w:fill="FFFFFF"/>
        <w:tblLayout w:type="autofit"/>
        <w:tblCellMar>
          <w:top w:w="15" w:type="dxa"/>
          <w:left w:w="15" w:type="dxa"/>
          <w:bottom w:w="15" w:type="dxa"/>
          <w:right w:w="15" w:type="dxa"/>
        </w:tblCellMar>
      </w:tblPr>
      <w:tblGrid>
        <w:gridCol w:w="1134"/>
        <w:gridCol w:w="977"/>
        <w:gridCol w:w="2460"/>
        <w:gridCol w:w="4290"/>
      </w:tblGrid>
      <w:tr>
        <w:tblPrEx>
          <w:shd w:val="clear" w:color="auto" w:fill="FFFFFF"/>
          <w:tblCellMar>
            <w:top w:w="15" w:type="dxa"/>
            <w:left w:w="15" w:type="dxa"/>
            <w:bottom w:w="15" w:type="dxa"/>
            <w:right w:w="15" w:type="dxa"/>
          </w:tblCellMar>
        </w:tblPrEx>
        <w:trPr>
          <w:trHeight w:val="495" w:hRule="atLeast"/>
          <w:jc w:val="center"/>
        </w:trPr>
        <w:tc>
          <w:tcPr>
            <w:tcW w:w="1134" w:type="dxa"/>
            <w:tcBorders>
              <w:top w:val="single" w:color="4472C4" w:sz="6" w:space="0"/>
              <w:left w:val="single" w:color="4472C4" w:sz="6" w:space="0"/>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阶段</w:t>
            </w:r>
          </w:p>
        </w:tc>
        <w:tc>
          <w:tcPr>
            <w:tcW w:w="977" w:type="dxa"/>
            <w:tcBorders>
              <w:top w:val="single" w:color="4472C4" w:sz="6" w:space="0"/>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入职时间</w:t>
            </w:r>
          </w:p>
        </w:tc>
        <w:tc>
          <w:tcPr>
            <w:tcW w:w="2460" w:type="dxa"/>
            <w:tcBorders>
              <w:top w:val="single" w:color="4472C4" w:sz="6" w:space="0"/>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角色定位</w:t>
            </w:r>
          </w:p>
        </w:tc>
        <w:tc>
          <w:tcPr>
            <w:tcW w:w="4290" w:type="dxa"/>
            <w:tcBorders>
              <w:top w:val="single" w:color="4472C4" w:sz="6" w:space="0"/>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关键工作内容</w:t>
            </w:r>
          </w:p>
        </w:tc>
      </w:tr>
      <w:tr>
        <w:tblPrEx>
          <w:shd w:val="clear" w:color="auto" w:fill="FFFFFF"/>
          <w:tblCellMar>
            <w:top w:w="15" w:type="dxa"/>
            <w:left w:w="15" w:type="dxa"/>
            <w:bottom w:w="15" w:type="dxa"/>
            <w:right w:w="15" w:type="dxa"/>
          </w:tblCellMar>
        </w:tblPrEx>
        <w:trPr>
          <w:trHeight w:val="585" w:hRule="atLeast"/>
          <w:jc w:val="center"/>
        </w:trPr>
        <w:tc>
          <w:tcPr>
            <w:tcW w:w="1134" w:type="dxa"/>
            <w:tcBorders>
              <w:top w:val="nil"/>
              <w:left w:val="single" w:color="4472C4" w:sz="6" w:space="0"/>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第一阶段</w:t>
            </w:r>
          </w:p>
        </w:tc>
        <w:tc>
          <w:tcPr>
            <w:tcW w:w="977"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入职半年内</w:t>
            </w:r>
          </w:p>
        </w:tc>
        <w:tc>
          <w:tcPr>
            <w:tcW w:w="246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营销培训生</w:t>
            </w:r>
          </w:p>
        </w:tc>
        <w:tc>
          <w:tcPr>
            <w:tcW w:w="429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参与新员工培训项目，营销实训期间主要是作为业务代表角色参与市场调研和终端销售等业务实战训练</w:t>
            </w:r>
          </w:p>
        </w:tc>
      </w:tr>
      <w:tr>
        <w:tblPrEx>
          <w:shd w:val="clear" w:color="auto" w:fill="FFFFFF"/>
          <w:tblCellMar>
            <w:top w:w="15" w:type="dxa"/>
            <w:left w:w="15" w:type="dxa"/>
            <w:bottom w:w="15" w:type="dxa"/>
            <w:right w:w="15" w:type="dxa"/>
          </w:tblCellMar>
        </w:tblPrEx>
        <w:trPr>
          <w:trHeight w:val="705" w:hRule="atLeast"/>
          <w:jc w:val="center"/>
        </w:trPr>
        <w:tc>
          <w:tcPr>
            <w:tcW w:w="1134" w:type="dxa"/>
            <w:tcBorders>
              <w:top w:val="nil"/>
              <w:left w:val="single" w:color="4472C4" w:sz="6" w:space="0"/>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第二阶段</w:t>
            </w:r>
          </w:p>
        </w:tc>
        <w:tc>
          <w:tcPr>
            <w:tcW w:w="977"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入职半年至3年</w:t>
            </w:r>
          </w:p>
        </w:tc>
        <w:tc>
          <w:tcPr>
            <w:tcW w:w="246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客服经理（初阶）</w:t>
            </w:r>
          </w:p>
        </w:tc>
        <w:tc>
          <w:tcPr>
            <w:tcW w:w="429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逐步接触业务全流程，进行市场运作方向模式规划、费用投放和方案制作，与经销商进行方案政策沟通，局部的招商和思路创新，初步带团队。</w:t>
            </w:r>
          </w:p>
        </w:tc>
      </w:tr>
      <w:tr>
        <w:tblPrEx>
          <w:shd w:val="clear" w:color="auto" w:fill="FFFFFF"/>
          <w:tblCellMar>
            <w:top w:w="15" w:type="dxa"/>
            <w:left w:w="15" w:type="dxa"/>
            <w:bottom w:w="15" w:type="dxa"/>
            <w:right w:w="15" w:type="dxa"/>
          </w:tblCellMar>
        </w:tblPrEx>
        <w:trPr>
          <w:trHeight w:val="1065" w:hRule="atLeast"/>
          <w:jc w:val="center"/>
        </w:trPr>
        <w:tc>
          <w:tcPr>
            <w:tcW w:w="1134" w:type="dxa"/>
            <w:tcBorders>
              <w:top w:val="nil"/>
              <w:left w:val="single" w:color="4472C4" w:sz="6" w:space="0"/>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第三阶段</w:t>
            </w:r>
          </w:p>
        </w:tc>
        <w:tc>
          <w:tcPr>
            <w:tcW w:w="977"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入职3-5年</w:t>
            </w:r>
          </w:p>
        </w:tc>
        <w:tc>
          <w:tcPr>
            <w:tcW w:w="246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客服经理（中阶、高阶）</w:t>
            </w:r>
            <w:r>
              <w:rPr>
                <w:rFonts w:hint="eastAsia" w:ascii="微软雅黑" w:hAnsi="微软雅黑" w:eastAsia="微软雅黑" w:cs="微软雅黑"/>
                <w:color w:val="333333"/>
                <w:kern w:val="0"/>
                <w:sz w:val="16"/>
                <w:szCs w:val="16"/>
              </w:rPr>
              <w:br w:type="textWrapping"/>
            </w:r>
            <w:r>
              <w:rPr>
                <w:rFonts w:hint="eastAsia" w:ascii="微软雅黑" w:hAnsi="微软雅黑" w:eastAsia="微软雅黑" w:cs="微软雅黑"/>
                <w:color w:val="333333"/>
                <w:kern w:val="0"/>
                <w:sz w:val="16"/>
                <w:szCs w:val="16"/>
              </w:rPr>
              <w:t>  VIP经理（初阶、中阶）</w:t>
            </w:r>
          </w:p>
        </w:tc>
        <w:tc>
          <w:tcPr>
            <w:tcW w:w="429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独立操作市场、熟练带领团队，制定可落地的执行方案，顺畅引导经销商思路达成合作的共识，开展客户布局、招商、活动策划等工作</w:t>
            </w:r>
          </w:p>
        </w:tc>
      </w:tr>
      <w:tr>
        <w:tblPrEx>
          <w:shd w:val="clear" w:color="auto" w:fill="FFFFFF"/>
          <w:tblCellMar>
            <w:top w:w="15" w:type="dxa"/>
            <w:left w:w="15" w:type="dxa"/>
            <w:bottom w:w="15" w:type="dxa"/>
            <w:right w:w="15" w:type="dxa"/>
          </w:tblCellMar>
        </w:tblPrEx>
        <w:trPr>
          <w:trHeight w:val="1155" w:hRule="atLeast"/>
          <w:jc w:val="center"/>
        </w:trPr>
        <w:tc>
          <w:tcPr>
            <w:tcW w:w="1134" w:type="dxa"/>
            <w:tcBorders>
              <w:top w:val="nil"/>
              <w:left w:val="single" w:color="4472C4" w:sz="6" w:space="0"/>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第四阶段</w:t>
            </w:r>
          </w:p>
        </w:tc>
        <w:tc>
          <w:tcPr>
            <w:tcW w:w="977"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入职5年以上</w:t>
            </w:r>
          </w:p>
        </w:tc>
        <w:tc>
          <w:tcPr>
            <w:tcW w:w="246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vAlign w:val="cente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VIP经理（高阶）</w:t>
            </w:r>
            <w:r>
              <w:rPr>
                <w:rFonts w:hint="eastAsia" w:ascii="微软雅黑" w:hAnsi="微软雅黑" w:eastAsia="微软雅黑" w:cs="微软雅黑"/>
                <w:color w:val="333333"/>
                <w:kern w:val="0"/>
                <w:sz w:val="16"/>
                <w:szCs w:val="16"/>
              </w:rPr>
              <w:br w:type="textWrapping"/>
            </w:r>
            <w:r>
              <w:rPr>
                <w:rFonts w:hint="eastAsia" w:ascii="微软雅黑" w:hAnsi="微软雅黑" w:eastAsia="微软雅黑" w:cs="微软雅黑"/>
                <w:color w:val="333333"/>
                <w:kern w:val="0"/>
                <w:sz w:val="16"/>
                <w:szCs w:val="16"/>
              </w:rPr>
              <w:t>  战区/片区经理</w:t>
            </w:r>
          </w:p>
        </w:tc>
        <w:tc>
          <w:tcPr>
            <w:tcW w:w="4290" w:type="dxa"/>
            <w:tcBorders>
              <w:top w:val="nil"/>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320" w:lineRule="exac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通过圈层资源的积累和影响力，整合公司内部资源辅助区域市场工作开展，培养稳定和高产的团队，和客户达成战略合作伙伴关系，承接多个类型和模式的市场管理</w:t>
            </w:r>
          </w:p>
        </w:tc>
      </w:tr>
    </w:tbl>
    <w:p>
      <w:pPr>
        <w:widowControl/>
        <w:shd w:val="clear" w:color="auto" w:fill="FFFFFF"/>
        <w:jc w:val="left"/>
        <w:rPr>
          <w:rFonts w:hint="eastAsia" w:ascii="微软雅黑" w:hAnsi="微软雅黑" w:eastAsia="微软雅黑" w:cs="微软雅黑"/>
          <w:color w:val="333333"/>
          <w:kern w:val="0"/>
          <w:sz w:val="16"/>
          <w:szCs w:val="16"/>
        </w:rPr>
      </w:pPr>
    </w:p>
    <w:p>
      <w:pPr>
        <w:widowControl/>
        <w:shd w:val="clear" w:color="auto" w:fill="FFFFFF"/>
        <w:spacing w:line="420" w:lineRule="atLeas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四、培养期与薪酬福利</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（一）培养期</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按照公司要求，本科及以上学历新进大学生员工有半年培养期，主要安排通用能力培训、营销实践、项目锻炼及岗位学习，帮助新进大学生快速提升工作技能，适应职业转变。</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（二）薪酬水平</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培养期年度薪酬范围总额如下：</w:t>
      </w:r>
    </w:p>
    <w:tbl>
      <w:tblPr>
        <w:tblStyle w:val="4"/>
        <w:tblW w:w="5955" w:type="dxa"/>
        <w:jc w:val="center"/>
        <w:shd w:val="clear" w:color="auto" w:fill="FFFFFF"/>
        <w:tblLayout w:type="autofit"/>
        <w:tblCellMar>
          <w:top w:w="15" w:type="dxa"/>
          <w:left w:w="15" w:type="dxa"/>
          <w:bottom w:w="15" w:type="dxa"/>
          <w:right w:w="15" w:type="dxa"/>
        </w:tblCellMar>
      </w:tblPr>
      <w:tblGrid>
        <w:gridCol w:w="3045"/>
        <w:gridCol w:w="2910"/>
      </w:tblGrid>
      <w:tr>
        <w:tblPrEx>
          <w:shd w:val="clear" w:color="auto" w:fill="FFFFFF"/>
          <w:tblCellMar>
            <w:top w:w="15" w:type="dxa"/>
            <w:left w:w="15" w:type="dxa"/>
            <w:bottom w:w="15" w:type="dxa"/>
            <w:right w:w="15" w:type="dxa"/>
          </w:tblCellMar>
        </w:tblPrEx>
        <w:trPr>
          <w:trHeight w:val="315" w:hRule="atLeast"/>
          <w:jc w:val="center"/>
        </w:trPr>
        <w:tc>
          <w:tcPr>
            <w:tcW w:w="5955" w:type="dxa"/>
            <w:gridSpan w:val="2"/>
            <w:tcBorders>
              <w:top w:val="single" w:color="4472C4" w:sz="6" w:space="0"/>
              <w:left w:val="single" w:color="4472C4" w:sz="6" w:space="0"/>
              <w:bottom w:val="single" w:color="4472C4" w:sz="6" w:space="0"/>
              <w:right w:val="single" w:color="4472C4" w:sz="6" w:space="0"/>
            </w:tcBorders>
            <w:shd w:val="clear" w:color="auto" w:fill="FFFFFF"/>
            <w:tcMar>
              <w:top w:w="0" w:type="dxa"/>
              <w:left w:w="105" w:type="dxa"/>
              <w:bottom w:w="0" w:type="dxa"/>
              <w:right w:w="105" w:type="dxa"/>
            </w:tcMa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培养期薪酬</w:t>
            </w:r>
          </w:p>
        </w:tc>
      </w:tr>
      <w:tr>
        <w:tblPrEx>
          <w:tblCellMar>
            <w:top w:w="15" w:type="dxa"/>
            <w:left w:w="15" w:type="dxa"/>
            <w:bottom w:w="15" w:type="dxa"/>
            <w:right w:w="15" w:type="dxa"/>
          </w:tblCellMar>
        </w:tblPrEx>
        <w:trPr>
          <w:trHeight w:val="315" w:hRule="atLeast"/>
          <w:jc w:val="center"/>
        </w:trPr>
        <w:tc>
          <w:tcPr>
            <w:tcW w:w="3045" w:type="dxa"/>
            <w:tcBorders>
              <w:top w:val="nil"/>
              <w:left w:val="single" w:color="4472C4" w:sz="6" w:space="0"/>
              <w:bottom w:val="nil"/>
              <w:right w:val="single" w:color="4472C4" w:sz="6" w:space="0"/>
            </w:tcBorders>
            <w:shd w:val="clear" w:color="auto" w:fill="FFFFFF"/>
            <w:tcMar>
              <w:top w:w="0" w:type="dxa"/>
              <w:left w:w="105" w:type="dxa"/>
              <w:bottom w:w="0" w:type="dxa"/>
              <w:right w:w="105" w:type="dxa"/>
            </w:tcMa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硕士</w:t>
            </w:r>
          </w:p>
        </w:tc>
        <w:tc>
          <w:tcPr>
            <w:tcW w:w="2910" w:type="dxa"/>
            <w:tcBorders>
              <w:top w:val="nil"/>
              <w:left w:val="nil"/>
              <w:bottom w:val="nil"/>
              <w:right w:val="single" w:color="4472C4" w:sz="6" w:space="0"/>
            </w:tcBorders>
            <w:shd w:val="clear" w:color="auto" w:fill="FFFFFF"/>
            <w:tcMar>
              <w:top w:w="0" w:type="dxa"/>
              <w:left w:w="105" w:type="dxa"/>
              <w:bottom w:w="0" w:type="dxa"/>
              <w:right w:w="105" w:type="dxa"/>
            </w:tcMa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本科</w:t>
            </w:r>
          </w:p>
        </w:tc>
      </w:tr>
      <w:tr>
        <w:tblPrEx>
          <w:tblCellMar>
            <w:top w:w="15" w:type="dxa"/>
            <w:left w:w="15" w:type="dxa"/>
            <w:bottom w:w="15" w:type="dxa"/>
            <w:right w:w="15" w:type="dxa"/>
          </w:tblCellMar>
        </w:tblPrEx>
        <w:trPr>
          <w:trHeight w:val="330" w:hRule="atLeast"/>
          <w:jc w:val="center"/>
        </w:trPr>
        <w:tc>
          <w:tcPr>
            <w:tcW w:w="3045" w:type="dxa"/>
            <w:tcBorders>
              <w:top w:val="single" w:color="4472C4" w:sz="6" w:space="0"/>
              <w:left w:val="single" w:color="4472C4" w:sz="6" w:space="0"/>
              <w:bottom w:val="single" w:color="4472C4" w:sz="6" w:space="0"/>
              <w:right w:val="single" w:color="4472C4" w:sz="6" w:space="0"/>
            </w:tcBorders>
            <w:shd w:val="clear" w:color="auto" w:fill="FFFFFF"/>
            <w:tcMar>
              <w:top w:w="0" w:type="dxa"/>
              <w:left w:w="105" w:type="dxa"/>
              <w:bottom w:w="0" w:type="dxa"/>
              <w:right w:w="105" w:type="dxa"/>
            </w:tcMa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10万/年</w:t>
            </w:r>
          </w:p>
        </w:tc>
        <w:tc>
          <w:tcPr>
            <w:tcW w:w="2910" w:type="dxa"/>
            <w:tcBorders>
              <w:top w:val="single" w:color="4472C4" w:sz="6" w:space="0"/>
              <w:left w:val="nil"/>
              <w:bottom w:val="single" w:color="4472C4" w:sz="6" w:space="0"/>
              <w:right w:val="single" w:color="4472C4" w:sz="6" w:space="0"/>
            </w:tcBorders>
            <w:shd w:val="clear" w:color="auto" w:fill="FFFFFF"/>
            <w:tcMar>
              <w:top w:w="0" w:type="dxa"/>
              <w:left w:w="105" w:type="dxa"/>
              <w:bottom w:w="0" w:type="dxa"/>
              <w:right w:w="105" w:type="dxa"/>
            </w:tcMar>
          </w:tcPr>
          <w:p>
            <w:pPr>
              <w:widowControl/>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8万/年</w:t>
            </w:r>
          </w:p>
        </w:tc>
      </w:tr>
    </w:tbl>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定岗后按照岗位薪酬发放工资，不再有学历的差别。 转正之后收入=基本工资+岗位工资+绩效薪酬+补贴。</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A、基本工资、岗位工资：公司实行月薪制，基本工资和岗位工资是固定收入的主要组成。</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B、绩效薪酬：根据销售任务达成和绩效结果进行分配，有销售达成奖、业绩增长奖、增量奖励、单项奖励等，分为季度和年度兑现。</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C、补贴：为员工解决生活问题提供现金支持，包括误餐、住房补贴等。</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（三）福利政策</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从签订劳动合同开始，我们为员工购买“五险一金”之外，还额外购买企业年金、补充医疗保险和重大疾病险，共计“七险两金”，除此之外，我们还提供生活补贴，包含住房补贴、误餐补贴和通讯补贴等，还提供意外险、探亲补贴、春节福利酒、过节福利、季度米油等。</w:t>
      </w:r>
    </w:p>
    <w:p>
      <w:pPr>
        <w:widowControl/>
        <w:shd w:val="clear" w:color="auto" w:fill="FFFFFF"/>
        <w:jc w:val="left"/>
        <w:rPr>
          <w:rFonts w:hint="eastAsia" w:ascii="微软雅黑" w:hAnsi="微软雅黑" w:eastAsia="微软雅黑" w:cs="微软雅黑"/>
          <w:color w:val="333333"/>
          <w:kern w:val="0"/>
          <w:sz w:val="16"/>
          <w:szCs w:val="16"/>
        </w:rPr>
      </w:pPr>
    </w:p>
    <w:p>
      <w:pPr>
        <w:widowControl/>
        <w:shd w:val="clear" w:color="auto" w:fill="FFFFFF"/>
        <w:spacing w:line="420" w:lineRule="atLeas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五、网上申请</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（一）网申渠道</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本次校园招聘只接受校园招聘官方网站简历投递，除网申渠道外，不接受其他形式的线上或线下简历投递。</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校园招聘官方网站内包含公司介绍、校招流程、培养体系、福利待遇等内容，扫描二维码或点击链接查看相关信息，完成网申。</w:t>
      </w:r>
    </w:p>
    <w:p>
      <w:pPr>
        <w:widowControl/>
        <w:shd w:val="clear" w:color="auto" w:fill="FFFFFF"/>
        <w:spacing w:line="420" w:lineRule="atLeast"/>
        <w:jc w:val="center"/>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drawing>
          <wp:inline distT="0" distB="0" distL="0" distR="0">
            <wp:extent cx="2009775" cy="2009775"/>
            <wp:effectExtent l="19050" t="0" r="9525"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jpg"/>
                    <pic:cNvPicPr>
                      <a:picLocks noChangeAspect="1" noChangeArrowheads="1"/>
                    </pic:cNvPicPr>
                  </pic:nvPicPr>
                  <pic:blipFill>
                    <a:blip r:embed="rId4" cstate="print"/>
                    <a:srcRect/>
                    <a:stretch>
                      <a:fillRect/>
                    </a:stretch>
                  </pic:blipFill>
                  <pic:spPr>
                    <a:xfrm>
                      <a:off x="0" y="0"/>
                      <a:ext cx="2009775" cy="2009775"/>
                    </a:xfrm>
                    <a:prstGeom prst="rect">
                      <a:avLst/>
                    </a:prstGeom>
                    <a:noFill/>
                    <a:ln w="9525">
                      <a:noFill/>
                      <a:miter lim="800000"/>
                      <a:headEnd/>
                      <a:tailEnd/>
                    </a:ln>
                  </pic:spPr>
                </pic:pic>
              </a:graphicData>
            </a:graphic>
          </wp:inline>
        </w:drawing>
      </w:r>
    </w:p>
    <w:p>
      <w:pPr>
        <w:widowControl/>
        <w:shd w:val="clear" w:color="auto" w:fill="FFFFFF"/>
        <w:spacing w:line="420" w:lineRule="atLeast"/>
        <w:jc w:val="center"/>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http://campus.51job.com/lzlj2020</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（二）注意事项</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1. 请准确、完整地填写网申信息（尤其是学校、专业、是否应届生、面试时间等关键信息）；</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2. 如对泸州老窖校园招聘有疑问，可关注校园招聘官方网站【校招问答】版块，我们罗列了诸多问题并进行详细解答，以供各位同学查询。</w:t>
      </w:r>
    </w:p>
    <w:p>
      <w:pPr>
        <w:widowControl/>
        <w:shd w:val="clear" w:color="auto" w:fill="FFFFFF"/>
        <w:jc w:val="left"/>
        <w:rPr>
          <w:rFonts w:hint="eastAsia" w:ascii="微软雅黑" w:hAnsi="微软雅黑" w:eastAsia="微软雅黑" w:cs="微软雅黑"/>
          <w:color w:val="333333"/>
          <w:kern w:val="0"/>
          <w:sz w:val="16"/>
          <w:szCs w:val="16"/>
        </w:rPr>
      </w:pPr>
    </w:p>
    <w:p>
      <w:pPr>
        <w:widowControl/>
        <w:shd w:val="clear" w:color="auto" w:fill="FFFFFF"/>
        <w:spacing w:line="420" w:lineRule="atLeast"/>
        <w:jc w:val="left"/>
        <w:rPr>
          <w:rFonts w:hint="eastAsia" w:ascii="微软雅黑" w:hAnsi="微软雅黑" w:eastAsia="微软雅黑" w:cs="微软雅黑"/>
          <w:color w:val="333333"/>
          <w:kern w:val="0"/>
          <w:sz w:val="18"/>
          <w:szCs w:val="18"/>
        </w:rPr>
      </w:pPr>
      <w:r>
        <w:rPr>
          <w:rFonts w:hint="eastAsia" w:ascii="微软雅黑" w:hAnsi="微软雅黑" w:eastAsia="微软雅黑" w:cs="微软雅黑"/>
          <w:b/>
          <w:bCs/>
          <w:color w:val="333333"/>
          <w:kern w:val="0"/>
          <w:sz w:val="18"/>
          <w:szCs w:val="18"/>
        </w:rPr>
        <w:t>六、联系我们</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如有其它疑问可致电泸州老窖股份有限公司人力资源管理中心。</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上班时间：周一至周五9:00-12:00，14:00-18:00</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联系电话：0830-2398245（李先生） </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0830-2398482（张女士）</w:t>
      </w:r>
    </w:p>
    <w:p>
      <w:pPr>
        <w:widowControl/>
        <w:shd w:val="clear" w:color="auto" w:fill="FFFFFF"/>
        <w:spacing w:line="420" w:lineRule="atLeast"/>
        <w:jc w:val="left"/>
        <w:rPr>
          <w:rFonts w:hint="eastAsia" w:ascii="微软雅黑" w:hAnsi="微软雅黑" w:eastAsia="微软雅黑" w:cs="微软雅黑"/>
          <w:color w:val="333333"/>
          <w:kern w:val="0"/>
          <w:sz w:val="16"/>
          <w:szCs w:val="16"/>
        </w:rPr>
      </w:pPr>
      <w:r>
        <w:rPr>
          <w:rFonts w:hint="eastAsia" w:ascii="微软雅黑" w:hAnsi="微软雅黑" w:eastAsia="微软雅黑" w:cs="微软雅黑"/>
          <w:color w:val="333333"/>
          <w:kern w:val="0"/>
          <w:sz w:val="16"/>
          <w:szCs w:val="16"/>
        </w:rPr>
        <w:t xml:space="preserve">    地址：四川省泸州市龙马潭区南光路71号泸州老窖营销指挥中心</w:t>
      </w:r>
    </w:p>
    <w:p>
      <w:pPr>
        <w:rPr>
          <w:rFonts w:hint="eastAsia" w:ascii="微软雅黑" w:hAnsi="微软雅黑" w:eastAsia="微软雅黑" w:cs="微软雅黑"/>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7A"/>
    <w:rsid w:val="0036107A"/>
    <w:rsid w:val="00632E38"/>
    <w:rsid w:val="00747998"/>
    <w:rsid w:val="00EF3316"/>
    <w:rsid w:val="1C8B59E6"/>
    <w:rsid w:val="289E1E25"/>
    <w:rsid w:val="37512966"/>
    <w:rsid w:val="4844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1783</Characters>
  <Lines>14</Lines>
  <Paragraphs>4</Paragraphs>
  <TotalTime>5</TotalTime>
  <ScaleCrop>false</ScaleCrop>
  <LinksUpToDate>false</LinksUpToDate>
  <CharactersWithSpaces>2091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2020-02-27T02:15:00Z</dcterms:created>
  <dc:creator>姚文龙</dc:creator>
  <cp:lastModifiedBy>杨紫琴</cp:lastModifiedBy>
  <dcterms:modified xsi:type="dcterms:W3CDTF">2020-10-29T15:05:24Z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